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150" w:type="dxa"/>
        <w:tblCellSpacing w:w="0" w:type="dxa"/>
        <w:tblCellMar>
          <w:left w:w="0" w:type="dxa"/>
          <w:right w:w="0" w:type="dxa"/>
        </w:tblCellMar>
        <w:tblLook w:val="04A0" w:firstRow="1" w:lastRow="0" w:firstColumn="1" w:lastColumn="0" w:noHBand="0" w:noVBand="1"/>
      </w:tblPr>
      <w:tblGrid>
        <w:gridCol w:w="770"/>
        <w:gridCol w:w="2429"/>
        <w:gridCol w:w="1134"/>
        <w:gridCol w:w="2552"/>
        <w:gridCol w:w="1134"/>
        <w:gridCol w:w="4131"/>
      </w:tblGrid>
      <w:tr w:rsidR="00977F6D" w:rsidRPr="00977F6D" w:rsidTr="00977F6D">
        <w:trPr>
          <w:tblCellSpacing w:w="0" w:type="dxa"/>
        </w:trPr>
        <w:tc>
          <w:tcPr>
            <w:tcW w:w="1215" w:type="dxa"/>
            <w:tcBorders>
              <w:top w:val="nil"/>
              <w:left w:val="nil"/>
              <w:bottom w:val="nil"/>
              <w:right w:val="nil"/>
            </w:tcBorders>
            <w:hideMark/>
          </w:tcPr>
          <w:p w:rsidR="00977F6D" w:rsidRPr="00977F6D" w:rsidRDefault="00977F6D" w:rsidP="00977F6D">
            <w:pPr>
              <w:widowControl/>
              <w:spacing w:line="375" w:lineRule="atLeast"/>
              <w:jc w:val="left"/>
              <w:rPr>
                <w:rFonts w:ascii="宋体" w:eastAsia="宋体" w:hAnsi="宋体" w:cs="宋体"/>
                <w:b/>
                <w:bCs/>
                <w:color w:val="4B4B4B"/>
                <w:kern w:val="0"/>
                <w:szCs w:val="21"/>
              </w:rPr>
            </w:pPr>
            <w:r w:rsidRPr="00977F6D">
              <w:rPr>
                <w:rFonts w:ascii="宋体" w:eastAsia="宋体" w:hAnsi="宋体" w:cs="宋体" w:hint="eastAsia"/>
                <w:b/>
                <w:bCs/>
                <w:color w:val="4B4B4B"/>
                <w:kern w:val="0"/>
                <w:szCs w:val="21"/>
              </w:rPr>
              <w:t>信息名称：</w:t>
            </w:r>
          </w:p>
        </w:tc>
        <w:tc>
          <w:tcPr>
            <w:tcW w:w="0" w:type="auto"/>
            <w:gridSpan w:val="5"/>
            <w:tcBorders>
              <w:top w:val="nil"/>
              <w:left w:val="nil"/>
              <w:bottom w:val="nil"/>
              <w:right w:val="nil"/>
            </w:tcBorders>
            <w:hideMark/>
          </w:tcPr>
          <w:p w:rsidR="00977F6D" w:rsidRPr="00977F6D" w:rsidRDefault="00977F6D" w:rsidP="00977F6D">
            <w:pPr>
              <w:widowControl/>
              <w:spacing w:line="375" w:lineRule="atLeast"/>
              <w:jc w:val="left"/>
              <w:rPr>
                <w:rFonts w:ascii="宋体" w:eastAsia="宋体" w:hAnsi="宋体" w:cs="宋体" w:hint="eastAsia"/>
                <w:color w:val="4B4B4B"/>
                <w:kern w:val="0"/>
                <w:szCs w:val="21"/>
              </w:rPr>
            </w:pPr>
            <w:r w:rsidRPr="00977F6D">
              <w:rPr>
                <w:rFonts w:ascii="宋体" w:eastAsia="宋体" w:hAnsi="宋体" w:cs="宋体" w:hint="eastAsia"/>
                <w:color w:val="4B4B4B"/>
                <w:kern w:val="0"/>
                <w:szCs w:val="21"/>
              </w:rPr>
              <w:t>《学位论文作假行为处理办法》</w:t>
            </w:r>
          </w:p>
        </w:tc>
      </w:tr>
      <w:tr w:rsidR="00977F6D" w:rsidRPr="00977F6D" w:rsidTr="00977F6D">
        <w:trPr>
          <w:tblCellSpacing w:w="0" w:type="dxa"/>
        </w:trPr>
        <w:tc>
          <w:tcPr>
            <w:tcW w:w="1215" w:type="dxa"/>
            <w:tcBorders>
              <w:top w:val="nil"/>
              <w:left w:val="nil"/>
              <w:bottom w:val="nil"/>
              <w:right w:val="nil"/>
            </w:tcBorders>
            <w:hideMark/>
          </w:tcPr>
          <w:p w:rsidR="00977F6D" w:rsidRPr="00977F6D" w:rsidRDefault="00977F6D" w:rsidP="00977F6D">
            <w:pPr>
              <w:widowControl/>
              <w:spacing w:line="375" w:lineRule="atLeast"/>
              <w:jc w:val="left"/>
              <w:rPr>
                <w:rFonts w:ascii="宋体" w:eastAsia="宋体" w:hAnsi="宋体" w:cs="宋体" w:hint="eastAsia"/>
                <w:b/>
                <w:bCs/>
                <w:color w:val="4B4B4B"/>
                <w:kern w:val="0"/>
                <w:szCs w:val="21"/>
              </w:rPr>
            </w:pPr>
            <w:r w:rsidRPr="00977F6D">
              <w:rPr>
                <w:rFonts w:ascii="宋体" w:eastAsia="宋体" w:hAnsi="宋体" w:cs="宋体" w:hint="eastAsia"/>
                <w:b/>
                <w:bCs/>
                <w:color w:val="4B4B4B"/>
                <w:kern w:val="0"/>
                <w:szCs w:val="21"/>
              </w:rPr>
              <w:t>信息索引：</w:t>
            </w:r>
          </w:p>
        </w:tc>
        <w:tc>
          <w:tcPr>
            <w:tcW w:w="1000" w:type="pct"/>
            <w:tcBorders>
              <w:top w:val="nil"/>
              <w:left w:val="nil"/>
              <w:bottom w:val="nil"/>
              <w:right w:val="nil"/>
            </w:tcBorders>
            <w:hideMark/>
          </w:tcPr>
          <w:p w:rsidR="00977F6D" w:rsidRPr="00977F6D" w:rsidRDefault="00977F6D" w:rsidP="00977F6D">
            <w:pPr>
              <w:widowControl/>
              <w:spacing w:line="375" w:lineRule="atLeast"/>
              <w:jc w:val="left"/>
              <w:rPr>
                <w:rFonts w:ascii="宋体" w:eastAsia="宋体" w:hAnsi="宋体" w:cs="宋体" w:hint="eastAsia"/>
                <w:color w:val="4B4B4B"/>
                <w:kern w:val="0"/>
                <w:szCs w:val="21"/>
              </w:rPr>
            </w:pPr>
            <w:r w:rsidRPr="00977F6D">
              <w:rPr>
                <w:rFonts w:ascii="宋体" w:eastAsia="宋体" w:hAnsi="宋体" w:cs="宋体" w:hint="eastAsia"/>
                <w:color w:val="4B4B4B"/>
                <w:kern w:val="0"/>
                <w:szCs w:val="21"/>
              </w:rPr>
              <w:t>360A02-03-2012-0005-1</w:t>
            </w:r>
          </w:p>
        </w:tc>
        <w:tc>
          <w:tcPr>
            <w:tcW w:w="1215" w:type="dxa"/>
            <w:tcBorders>
              <w:top w:val="nil"/>
              <w:left w:val="nil"/>
              <w:bottom w:val="nil"/>
              <w:right w:val="nil"/>
            </w:tcBorders>
            <w:hideMark/>
          </w:tcPr>
          <w:p w:rsidR="00977F6D" w:rsidRPr="00977F6D" w:rsidRDefault="00977F6D" w:rsidP="00977F6D">
            <w:pPr>
              <w:widowControl/>
              <w:spacing w:line="375" w:lineRule="atLeast"/>
              <w:jc w:val="left"/>
              <w:rPr>
                <w:rFonts w:ascii="宋体" w:eastAsia="宋体" w:hAnsi="宋体" w:cs="宋体" w:hint="eastAsia"/>
                <w:b/>
                <w:bCs/>
                <w:color w:val="4B4B4B"/>
                <w:kern w:val="0"/>
                <w:szCs w:val="21"/>
              </w:rPr>
            </w:pPr>
            <w:r w:rsidRPr="00977F6D">
              <w:rPr>
                <w:rFonts w:ascii="宋体" w:eastAsia="宋体" w:hAnsi="宋体" w:cs="宋体" w:hint="eastAsia"/>
                <w:b/>
                <w:bCs/>
                <w:color w:val="4B4B4B"/>
                <w:kern w:val="0"/>
                <w:szCs w:val="21"/>
              </w:rPr>
              <w:t>生成日期：</w:t>
            </w:r>
          </w:p>
        </w:tc>
        <w:tc>
          <w:tcPr>
            <w:tcW w:w="1050" w:type="pct"/>
            <w:tcBorders>
              <w:top w:val="nil"/>
              <w:left w:val="nil"/>
              <w:bottom w:val="nil"/>
              <w:right w:val="nil"/>
            </w:tcBorders>
            <w:hideMark/>
          </w:tcPr>
          <w:p w:rsidR="00977F6D" w:rsidRPr="00977F6D" w:rsidRDefault="00977F6D" w:rsidP="00977F6D">
            <w:pPr>
              <w:widowControl/>
              <w:spacing w:line="375" w:lineRule="atLeast"/>
              <w:jc w:val="left"/>
              <w:rPr>
                <w:rFonts w:ascii="宋体" w:eastAsia="宋体" w:hAnsi="宋体" w:cs="宋体" w:hint="eastAsia"/>
                <w:color w:val="4B4B4B"/>
                <w:kern w:val="0"/>
                <w:szCs w:val="21"/>
              </w:rPr>
            </w:pPr>
            <w:r w:rsidRPr="00977F6D">
              <w:rPr>
                <w:rFonts w:ascii="宋体" w:eastAsia="宋体" w:hAnsi="宋体" w:cs="宋体" w:hint="eastAsia"/>
                <w:color w:val="4B4B4B"/>
                <w:kern w:val="0"/>
                <w:szCs w:val="21"/>
              </w:rPr>
              <w:t>2012-11-13</w:t>
            </w:r>
          </w:p>
        </w:tc>
        <w:tc>
          <w:tcPr>
            <w:tcW w:w="1215" w:type="dxa"/>
            <w:tcBorders>
              <w:top w:val="nil"/>
              <w:left w:val="nil"/>
              <w:bottom w:val="nil"/>
              <w:right w:val="nil"/>
            </w:tcBorders>
            <w:hideMark/>
          </w:tcPr>
          <w:p w:rsidR="00977F6D" w:rsidRPr="00977F6D" w:rsidRDefault="00977F6D" w:rsidP="00977F6D">
            <w:pPr>
              <w:widowControl/>
              <w:spacing w:line="375" w:lineRule="atLeast"/>
              <w:jc w:val="left"/>
              <w:rPr>
                <w:rFonts w:ascii="宋体" w:eastAsia="宋体" w:hAnsi="宋体" w:cs="宋体" w:hint="eastAsia"/>
                <w:b/>
                <w:bCs/>
                <w:color w:val="4B4B4B"/>
                <w:kern w:val="0"/>
                <w:szCs w:val="21"/>
              </w:rPr>
            </w:pPr>
            <w:r w:rsidRPr="00977F6D">
              <w:rPr>
                <w:rFonts w:ascii="宋体" w:eastAsia="宋体" w:hAnsi="宋体" w:cs="宋体" w:hint="eastAsia"/>
                <w:b/>
                <w:bCs/>
                <w:color w:val="4B4B4B"/>
                <w:kern w:val="0"/>
                <w:szCs w:val="21"/>
              </w:rPr>
              <w:t>发文机构：</w:t>
            </w:r>
          </w:p>
        </w:tc>
        <w:tc>
          <w:tcPr>
            <w:tcW w:w="1700" w:type="pct"/>
            <w:tcBorders>
              <w:top w:val="nil"/>
              <w:left w:val="nil"/>
              <w:bottom w:val="nil"/>
              <w:right w:val="nil"/>
            </w:tcBorders>
            <w:hideMark/>
          </w:tcPr>
          <w:p w:rsidR="00977F6D" w:rsidRPr="00977F6D" w:rsidRDefault="00977F6D" w:rsidP="00977F6D">
            <w:pPr>
              <w:widowControl/>
              <w:spacing w:line="375" w:lineRule="atLeast"/>
              <w:jc w:val="left"/>
              <w:rPr>
                <w:rFonts w:ascii="宋体" w:eastAsia="宋体" w:hAnsi="宋体" w:cs="宋体" w:hint="eastAsia"/>
                <w:color w:val="4B4B4B"/>
                <w:kern w:val="0"/>
                <w:szCs w:val="21"/>
              </w:rPr>
            </w:pPr>
            <w:r w:rsidRPr="00977F6D">
              <w:rPr>
                <w:rFonts w:ascii="宋体" w:eastAsia="宋体" w:hAnsi="宋体" w:cs="宋体" w:hint="eastAsia"/>
                <w:color w:val="4B4B4B"/>
                <w:kern w:val="0"/>
                <w:szCs w:val="21"/>
              </w:rPr>
              <w:t>中华人民共和国教育部</w:t>
            </w:r>
          </w:p>
        </w:tc>
      </w:tr>
      <w:tr w:rsidR="00977F6D" w:rsidRPr="00977F6D" w:rsidTr="00977F6D">
        <w:trPr>
          <w:tblCellSpacing w:w="0" w:type="dxa"/>
        </w:trPr>
        <w:tc>
          <w:tcPr>
            <w:tcW w:w="1215" w:type="dxa"/>
            <w:tcBorders>
              <w:top w:val="nil"/>
              <w:left w:val="nil"/>
              <w:bottom w:val="nil"/>
              <w:right w:val="nil"/>
            </w:tcBorders>
            <w:hideMark/>
          </w:tcPr>
          <w:p w:rsidR="00977F6D" w:rsidRPr="00977F6D" w:rsidRDefault="00977F6D" w:rsidP="00977F6D">
            <w:pPr>
              <w:widowControl/>
              <w:spacing w:line="375" w:lineRule="atLeast"/>
              <w:jc w:val="left"/>
              <w:rPr>
                <w:rFonts w:ascii="宋体" w:eastAsia="宋体" w:hAnsi="宋体" w:cs="宋体" w:hint="eastAsia"/>
                <w:b/>
                <w:bCs/>
                <w:color w:val="4B4B4B"/>
                <w:kern w:val="0"/>
                <w:szCs w:val="21"/>
              </w:rPr>
            </w:pPr>
            <w:r w:rsidRPr="00977F6D">
              <w:rPr>
                <w:rFonts w:ascii="宋体" w:eastAsia="宋体" w:hAnsi="宋体" w:cs="宋体" w:hint="eastAsia"/>
                <w:b/>
                <w:bCs/>
                <w:color w:val="4B4B4B"/>
                <w:kern w:val="0"/>
                <w:szCs w:val="21"/>
              </w:rPr>
              <w:t>发文字号：</w:t>
            </w:r>
          </w:p>
        </w:tc>
        <w:tc>
          <w:tcPr>
            <w:tcW w:w="0" w:type="auto"/>
            <w:tcBorders>
              <w:top w:val="nil"/>
              <w:left w:val="nil"/>
              <w:bottom w:val="nil"/>
              <w:right w:val="nil"/>
            </w:tcBorders>
            <w:hideMark/>
          </w:tcPr>
          <w:p w:rsidR="00977F6D" w:rsidRPr="00977F6D" w:rsidRDefault="00977F6D" w:rsidP="00977F6D">
            <w:pPr>
              <w:widowControl/>
              <w:spacing w:line="375" w:lineRule="atLeast"/>
              <w:jc w:val="left"/>
              <w:rPr>
                <w:rFonts w:ascii="宋体" w:eastAsia="宋体" w:hAnsi="宋体" w:cs="宋体" w:hint="eastAsia"/>
                <w:color w:val="4B4B4B"/>
                <w:kern w:val="0"/>
                <w:szCs w:val="21"/>
              </w:rPr>
            </w:pPr>
            <w:r w:rsidRPr="00977F6D">
              <w:rPr>
                <w:rFonts w:ascii="宋体" w:eastAsia="宋体" w:hAnsi="宋体" w:cs="宋体" w:hint="eastAsia"/>
                <w:color w:val="4B4B4B"/>
                <w:kern w:val="0"/>
                <w:szCs w:val="21"/>
              </w:rPr>
              <w:t>中华人民共和国教育部令第34号</w:t>
            </w:r>
          </w:p>
        </w:tc>
        <w:tc>
          <w:tcPr>
            <w:tcW w:w="1215" w:type="dxa"/>
            <w:tcBorders>
              <w:top w:val="nil"/>
              <w:left w:val="nil"/>
              <w:bottom w:val="nil"/>
              <w:right w:val="nil"/>
            </w:tcBorders>
            <w:hideMark/>
          </w:tcPr>
          <w:p w:rsidR="00977F6D" w:rsidRPr="00977F6D" w:rsidRDefault="00977F6D" w:rsidP="00977F6D">
            <w:pPr>
              <w:widowControl/>
              <w:spacing w:line="375" w:lineRule="atLeast"/>
              <w:jc w:val="left"/>
              <w:rPr>
                <w:rFonts w:ascii="宋体" w:eastAsia="宋体" w:hAnsi="宋体" w:cs="宋体" w:hint="eastAsia"/>
                <w:b/>
                <w:bCs/>
                <w:color w:val="4B4B4B"/>
                <w:kern w:val="0"/>
                <w:szCs w:val="21"/>
              </w:rPr>
            </w:pPr>
            <w:r w:rsidRPr="00977F6D">
              <w:rPr>
                <w:rFonts w:ascii="宋体" w:eastAsia="宋体" w:hAnsi="宋体" w:cs="宋体" w:hint="eastAsia"/>
                <w:b/>
                <w:bCs/>
                <w:color w:val="4B4B4B"/>
                <w:kern w:val="0"/>
                <w:szCs w:val="21"/>
              </w:rPr>
              <w:t>信息类别：</w:t>
            </w:r>
          </w:p>
        </w:tc>
        <w:tc>
          <w:tcPr>
            <w:tcW w:w="0" w:type="auto"/>
            <w:gridSpan w:val="3"/>
            <w:tcBorders>
              <w:top w:val="nil"/>
              <w:left w:val="nil"/>
              <w:bottom w:val="nil"/>
              <w:right w:val="nil"/>
            </w:tcBorders>
            <w:hideMark/>
          </w:tcPr>
          <w:p w:rsidR="00977F6D" w:rsidRPr="00977F6D" w:rsidRDefault="00977F6D" w:rsidP="00977F6D">
            <w:pPr>
              <w:widowControl/>
              <w:spacing w:line="375" w:lineRule="atLeast"/>
              <w:jc w:val="left"/>
              <w:rPr>
                <w:rFonts w:ascii="宋体" w:eastAsia="宋体" w:hAnsi="宋体" w:cs="宋体" w:hint="eastAsia"/>
                <w:color w:val="4B4B4B"/>
                <w:kern w:val="0"/>
                <w:szCs w:val="21"/>
              </w:rPr>
            </w:pPr>
            <w:r w:rsidRPr="00977F6D">
              <w:rPr>
                <w:rFonts w:ascii="宋体" w:eastAsia="宋体" w:hAnsi="宋体" w:cs="宋体" w:hint="eastAsia"/>
                <w:color w:val="4B4B4B"/>
                <w:kern w:val="0"/>
                <w:szCs w:val="21"/>
              </w:rPr>
              <w:t>部门规章</w:t>
            </w:r>
          </w:p>
        </w:tc>
      </w:tr>
      <w:tr w:rsidR="00977F6D" w:rsidRPr="00977F6D" w:rsidTr="00977F6D">
        <w:trPr>
          <w:tblCellSpacing w:w="0" w:type="dxa"/>
        </w:trPr>
        <w:tc>
          <w:tcPr>
            <w:tcW w:w="1215" w:type="dxa"/>
            <w:tcBorders>
              <w:top w:val="nil"/>
              <w:left w:val="nil"/>
              <w:bottom w:val="nil"/>
              <w:right w:val="nil"/>
            </w:tcBorders>
            <w:hideMark/>
          </w:tcPr>
          <w:p w:rsidR="00977F6D" w:rsidRPr="00977F6D" w:rsidRDefault="00977F6D" w:rsidP="00977F6D">
            <w:pPr>
              <w:widowControl/>
              <w:spacing w:line="375" w:lineRule="atLeast"/>
              <w:jc w:val="left"/>
              <w:rPr>
                <w:rFonts w:ascii="宋体" w:eastAsia="宋体" w:hAnsi="宋体" w:cs="宋体" w:hint="eastAsia"/>
                <w:b/>
                <w:bCs/>
                <w:color w:val="4B4B4B"/>
                <w:kern w:val="0"/>
                <w:szCs w:val="21"/>
              </w:rPr>
            </w:pPr>
            <w:r w:rsidRPr="00977F6D">
              <w:rPr>
                <w:rFonts w:ascii="宋体" w:eastAsia="宋体" w:hAnsi="宋体" w:cs="宋体" w:hint="eastAsia"/>
                <w:b/>
                <w:bCs/>
                <w:color w:val="4B4B4B"/>
                <w:kern w:val="0"/>
                <w:szCs w:val="21"/>
              </w:rPr>
              <w:t>内容概述：</w:t>
            </w:r>
          </w:p>
        </w:tc>
        <w:tc>
          <w:tcPr>
            <w:tcW w:w="0" w:type="auto"/>
            <w:gridSpan w:val="5"/>
            <w:tcBorders>
              <w:top w:val="nil"/>
              <w:left w:val="nil"/>
              <w:bottom w:val="nil"/>
              <w:right w:val="nil"/>
            </w:tcBorders>
            <w:hideMark/>
          </w:tcPr>
          <w:p w:rsidR="00977F6D" w:rsidRPr="00977F6D" w:rsidRDefault="00977F6D" w:rsidP="00977F6D">
            <w:pPr>
              <w:widowControl/>
              <w:spacing w:line="375" w:lineRule="atLeast"/>
              <w:jc w:val="left"/>
              <w:rPr>
                <w:rFonts w:ascii="宋体" w:eastAsia="宋体" w:hAnsi="宋体" w:cs="宋体" w:hint="eastAsia"/>
                <w:color w:val="4B4B4B"/>
                <w:kern w:val="0"/>
                <w:szCs w:val="21"/>
              </w:rPr>
            </w:pPr>
            <w:r w:rsidRPr="00977F6D">
              <w:rPr>
                <w:rFonts w:ascii="宋体" w:eastAsia="宋体" w:hAnsi="宋体" w:cs="宋体" w:hint="eastAsia"/>
                <w:color w:val="4B4B4B"/>
                <w:kern w:val="0"/>
                <w:szCs w:val="21"/>
              </w:rPr>
              <w:t>《学位论文作假行为处理办法》已经2012年6月12日第22次部长办公会议审议通过，并经国务院学位委员会同意，现予发布，自2013年1月1日起施行。</w:t>
            </w:r>
          </w:p>
        </w:tc>
      </w:tr>
    </w:tbl>
    <w:p w:rsidR="00977F6D" w:rsidRPr="00977F6D" w:rsidRDefault="00977F6D" w:rsidP="00977F6D">
      <w:pPr>
        <w:widowControl/>
        <w:jc w:val="center"/>
        <w:outlineLvl w:val="0"/>
        <w:rPr>
          <w:rFonts w:ascii="微软雅黑" w:eastAsia="微软雅黑" w:hAnsi="微软雅黑" w:cs="宋体" w:hint="eastAsia"/>
          <w:b/>
          <w:bCs/>
          <w:color w:val="4B4B4B"/>
          <w:kern w:val="36"/>
          <w:sz w:val="30"/>
          <w:szCs w:val="30"/>
        </w:rPr>
      </w:pPr>
      <w:r w:rsidRPr="00977F6D">
        <w:rPr>
          <w:rFonts w:ascii="微软雅黑" w:eastAsia="微软雅黑" w:hAnsi="微软雅黑" w:cs="宋体" w:hint="eastAsia"/>
          <w:b/>
          <w:bCs/>
          <w:color w:val="4B4B4B"/>
          <w:kern w:val="36"/>
          <w:sz w:val="30"/>
          <w:szCs w:val="30"/>
        </w:rPr>
        <w:t>《学位论文作假行为处理办法》</w:t>
      </w:r>
    </w:p>
    <w:p w:rsidR="00977F6D" w:rsidRPr="00977F6D" w:rsidRDefault="00977F6D" w:rsidP="00977F6D">
      <w:pPr>
        <w:widowControl/>
        <w:spacing w:line="480" w:lineRule="atLeast"/>
        <w:jc w:val="righ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t>中华人民共和国教育部令第34号</w:t>
      </w:r>
    </w:p>
    <w:p w:rsidR="00977F6D" w:rsidRPr="00977F6D" w:rsidRDefault="00977F6D" w:rsidP="00977F6D">
      <w:pPr>
        <w:widowControl/>
        <w:spacing w:line="480" w:lineRule="atLeast"/>
        <w:jc w:val="lef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t xml:space="preserve">　　《学位论文作假行为处理办法》已经2012年6月12日第22次部长办公会议审议通过，并经国务院学位委员会同意，现予发布，自2013年1月1日起施行。</w:t>
      </w:r>
    </w:p>
    <w:p w:rsidR="00977F6D" w:rsidRPr="00977F6D" w:rsidRDefault="00977F6D" w:rsidP="00977F6D">
      <w:pPr>
        <w:widowControl/>
        <w:spacing w:line="480" w:lineRule="atLeast"/>
        <w:jc w:val="righ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t>教育部部长 袁贵仁</w:t>
      </w:r>
    </w:p>
    <w:p w:rsidR="00977F6D" w:rsidRPr="00977F6D" w:rsidRDefault="00977F6D" w:rsidP="00977F6D">
      <w:pPr>
        <w:widowControl/>
        <w:spacing w:line="480" w:lineRule="atLeast"/>
        <w:jc w:val="righ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t>2012年11月13日</w:t>
      </w:r>
    </w:p>
    <w:p w:rsidR="00977F6D" w:rsidRPr="00977F6D" w:rsidRDefault="00977F6D" w:rsidP="00977F6D">
      <w:pPr>
        <w:widowControl/>
        <w:spacing w:line="480" w:lineRule="atLeast"/>
        <w:jc w:val="center"/>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b/>
          <w:bCs/>
          <w:color w:val="4B4B4B"/>
          <w:kern w:val="0"/>
          <w:sz w:val="24"/>
          <w:szCs w:val="24"/>
          <w:bdr w:val="none" w:sz="0" w:space="0" w:color="auto" w:frame="1"/>
        </w:rPr>
        <w:t>学位论文作假行为处理办法</w:t>
      </w:r>
    </w:p>
    <w:p w:rsidR="00977F6D" w:rsidRPr="00977F6D" w:rsidRDefault="00977F6D" w:rsidP="00977F6D">
      <w:pPr>
        <w:widowControl/>
        <w:spacing w:line="480" w:lineRule="atLeast"/>
        <w:jc w:val="lef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t xml:space="preserve">　　第一条 为规范学位论文管理，推进建立良好学风，提高人才培养质量，严肃处理学位论文作假行为，根据《中华人民共和国学位条例》、《中华人民共和国高等教育法》，制定本办法。</w:t>
      </w:r>
    </w:p>
    <w:p w:rsidR="00977F6D" w:rsidRPr="00977F6D" w:rsidRDefault="00977F6D" w:rsidP="00977F6D">
      <w:pPr>
        <w:widowControl/>
        <w:spacing w:line="480" w:lineRule="atLeast"/>
        <w:jc w:val="lef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t xml:space="preserve">　　第二条 向学位授予单位申请博士、硕士、学士学位所提交的博士学位论文、硕士学位论文和本科学生毕业论文（毕业设计或其他毕业实践环节）（统称为学位论文），出现本办法所列作假情形的，依照本办法的规定处理。</w:t>
      </w:r>
    </w:p>
    <w:p w:rsidR="00977F6D" w:rsidRPr="00977F6D" w:rsidRDefault="00977F6D" w:rsidP="00977F6D">
      <w:pPr>
        <w:widowControl/>
        <w:spacing w:line="480" w:lineRule="atLeast"/>
        <w:jc w:val="lef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t xml:space="preserve">　　第三条 本办法所称学位论文作假行为包括下列情形：</w:t>
      </w:r>
    </w:p>
    <w:p w:rsidR="00977F6D" w:rsidRPr="00977F6D" w:rsidRDefault="00977F6D" w:rsidP="00977F6D">
      <w:pPr>
        <w:widowControl/>
        <w:spacing w:line="480" w:lineRule="atLeast"/>
        <w:jc w:val="lef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t xml:space="preserve">　　（一）购买、出售学位论文或者组织学位论文买卖的；</w:t>
      </w:r>
    </w:p>
    <w:p w:rsidR="00977F6D" w:rsidRPr="00977F6D" w:rsidRDefault="00977F6D" w:rsidP="00977F6D">
      <w:pPr>
        <w:widowControl/>
        <w:spacing w:line="480" w:lineRule="atLeast"/>
        <w:jc w:val="lef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t xml:space="preserve">　　（二）由他人代写、为他人代写学位论文或者组织学位论文代写的；</w:t>
      </w:r>
    </w:p>
    <w:p w:rsidR="00977F6D" w:rsidRPr="00977F6D" w:rsidRDefault="00977F6D" w:rsidP="00977F6D">
      <w:pPr>
        <w:widowControl/>
        <w:spacing w:line="480" w:lineRule="atLeast"/>
        <w:jc w:val="lef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lastRenderedPageBreak/>
        <w:t xml:space="preserve">　　（三）剽窃他人作品和学术成果的；</w:t>
      </w:r>
    </w:p>
    <w:p w:rsidR="00977F6D" w:rsidRPr="00977F6D" w:rsidRDefault="00977F6D" w:rsidP="00977F6D">
      <w:pPr>
        <w:widowControl/>
        <w:spacing w:line="480" w:lineRule="atLeast"/>
        <w:jc w:val="lef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t xml:space="preserve">　　（四）伪造数据的；</w:t>
      </w:r>
    </w:p>
    <w:p w:rsidR="00977F6D" w:rsidRPr="00977F6D" w:rsidRDefault="00977F6D" w:rsidP="00977F6D">
      <w:pPr>
        <w:widowControl/>
        <w:spacing w:line="480" w:lineRule="atLeast"/>
        <w:jc w:val="lef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t xml:space="preserve">　　（五）有其他严重学位论文作假行为的。</w:t>
      </w:r>
    </w:p>
    <w:p w:rsidR="00977F6D" w:rsidRPr="00977F6D" w:rsidRDefault="00977F6D" w:rsidP="00977F6D">
      <w:pPr>
        <w:widowControl/>
        <w:spacing w:line="480" w:lineRule="atLeast"/>
        <w:jc w:val="lef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t xml:space="preserve">　　第四条 学位申请人员应当恪守学术道德和学术规范，在指导教师指导下独立完成学位论文。</w:t>
      </w:r>
    </w:p>
    <w:p w:rsidR="00977F6D" w:rsidRPr="00977F6D" w:rsidRDefault="00977F6D" w:rsidP="00977F6D">
      <w:pPr>
        <w:widowControl/>
        <w:spacing w:line="480" w:lineRule="atLeast"/>
        <w:jc w:val="lef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t xml:space="preserve">　　第五条 指导教师应当对学位申请人员进行学术道德、学术规范教育，对其学位论文研究和撰写过程予以指导，对学位论文是否由其独立完成进行审查。</w:t>
      </w:r>
    </w:p>
    <w:p w:rsidR="00977F6D" w:rsidRPr="00977F6D" w:rsidRDefault="00977F6D" w:rsidP="00977F6D">
      <w:pPr>
        <w:widowControl/>
        <w:spacing w:line="480" w:lineRule="atLeast"/>
        <w:jc w:val="lef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t xml:space="preserve">　　第六条 学位授予单位应当加强学术诚信建设，健全学位论文审查制度，明确责任、规范程序，审核学位论文的真实性、原创性。</w:t>
      </w:r>
    </w:p>
    <w:p w:rsidR="00977F6D" w:rsidRPr="00977F6D" w:rsidRDefault="00977F6D" w:rsidP="00977F6D">
      <w:pPr>
        <w:widowControl/>
        <w:spacing w:line="480" w:lineRule="atLeast"/>
        <w:jc w:val="lef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t xml:space="preserve">　　第七条 学位申请人员的学位论文出现购买、由他人代写、剽窃或者伪造数据等作假情形的，学位授予单位可以取消其学位申请资格；已经获得学位的，学位授予单位可以依法撤销其学位，并注销学位证书。取消学位申请资格或者撤销学位的处理决定应当向社会公布。从做出处理决定之日起至少3年内，各学位授予单位不得再接受其学位申请。</w:t>
      </w:r>
    </w:p>
    <w:p w:rsidR="00977F6D" w:rsidRPr="00977F6D" w:rsidRDefault="00977F6D" w:rsidP="00977F6D">
      <w:pPr>
        <w:widowControl/>
        <w:spacing w:line="480" w:lineRule="atLeast"/>
        <w:jc w:val="lef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t xml:space="preserve">　　前款规定的学位申请人员为在读学生的，其所在学校或者学位授予单位可以给予开除学籍处分；为在职人员的，学位授予单位除给予纪律处分外，还应当通报其所在单位。</w:t>
      </w:r>
    </w:p>
    <w:p w:rsidR="00977F6D" w:rsidRPr="00977F6D" w:rsidRDefault="00977F6D" w:rsidP="00977F6D">
      <w:pPr>
        <w:widowControl/>
        <w:spacing w:line="480" w:lineRule="atLeast"/>
        <w:jc w:val="lef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t xml:space="preserve">　　第八条 为他人代写学位论文、出售学位论文或者组织学位论文买卖、代写的人员，属于在读学生的，其所在学校或者学位授予单位可以给予开除学籍处分；属于学校或者学位授予单位的教师和其他工作人员的，其所在学校或者学位授予单位可以给予开除处分或者解除聘任合同。</w:t>
      </w:r>
    </w:p>
    <w:p w:rsidR="00977F6D" w:rsidRPr="00977F6D" w:rsidRDefault="00977F6D" w:rsidP="00977F6D">
      <w:pPr>
        <w:widowControl/>
        <w:spacing w:line="480" w:lineRule="atLeast"/>
        <w:jc w:val="lef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lastRenderedPageBreak/>
        <w:t xml:space="preserve">　　第九条 指导教师未履行学术道德和学术规范教育、论文指导和审查把关等职责，其指导的学位论文存在作假情形的，学位授予单位可以给予警告、记过处分；情节严重的，可以降低岗位等级直至给予开除处分或者解除聘任合同。</w:t>
      </w:r>
    </w:p>
    <w:p w:rsidR="00977F6D" w:rsidRPr="00977F6D" w:rsidRDefault="00977F6D" w:rsidP="00977F6D">
      <w:pPr>
        <w:widowControl/>
        <w:spacing w:line="480" w:lineRule="atLeast"/>
        <w:jc w:val="lef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t xml:space="preserve">　　第十条 学位授予单位应当将学位论文审查情况纳入对学院（系）等学生培养部门的年度考核内容。多次出现学位论文作假或者学位论文作假行为影响恶劣的，学位授予单位应当对该学院（系）等学生培养部门予以通报批评，并可以给予该学院（系）负责人相应的处分。</w:t>
      </w:r>
    </w:p>
    <w:p w:rsidR="00977F6D" w:rsidRPr="00977F6D" w:rsidRDefault="00977F6D" w:rsidP="00977F6D">
      <w:pPr>
        <w:widowControl/>
        <w:spacing w:line="480" w:lineRule="atLeast"/>
        <w:jc w:val="lef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t xml:space="preserve">　　第十一条 学位授予单位制度不健全、管理混乱，多次出现学位论文作假或者学位论文作假行为影响恶劣的，国务院学位委员会或者省、自治区、直辖市人民政府学位委员会可以暂停或者撤销其相应学科、专业授予学位的资格；国务院教育行政部门或者省、自治区、直辖市人民政府教育行政部门可以核减其招生计划；并由有关主管部门按照国家有关规定对负有直接管理责任的学位授予单位负责人进行问责。</w:t>
      </w:r>
    </w:p>
    <w:p w:rsidR="00977F6D" w:rsidRPr="00977F6D" w:rsidRDefault="00977F6D" w:rsidP="00977F6D">
      <w:pPr>
        <w:widowControl/>
        <w:spacing w:line="480" w:lineRule="atLeast"/>
        <w:jc w:val="lef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t xml:space="preserve">　　第十二条 发现学位论文有作假嫌疑的，学位授予单位应当确定学术委员会或者其他负有相应职责的机构，必要时可以委托专家组成的专门机构，对其进行调查认定。</w:t>
      </w:r>
    </w:p>
    <w:p w:rsidR="00977F6D" w:rsidRPr="00977F6D" w:rsidRDefault="00977F6D" w:rsidP="00977F6D">
      <w:pPr>
        <w:widowControl/>
        <w:spacing w:line="480" w:lineRule="atLeast"/>
        <w:jc w:val="lef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t xml:space="preserve">　　第十三条 对学位申请人员、指导教师及其他有关人员做出处理决定前，应当告知并听取当事人的陈述和申辩。</w:t>
      </w:r>
    </w:p>
    <w:p w:rsidR="00977F6D" w:rsidRPr="00977F6D" w:rsidRDefault="00977F6D" w:rsidP="00977F6D">
      <w:pPr>
        <w:widowControl/>
        <w:spacing w:line="480" w:lineRule="atLeast"/>
        <w:jc w:val="lef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t xml:space="preserve">　　当事人对处理决定不服的，可以依法提出申诉、申请行政复议或者提起行政诉讼。</w:t>
      </w:r>
    </w:p>
    <w:p w:rsidR="00977F6D" w:rsidRPr="00977F6D" w:rsidRDefault="00977F6D" w:rsidP="00977F6D">
      <w:pPr>
        <w:widowControl/>
        <w:spacing w:line="480" w:lineRule="atLeast"/>
        <w:jc w:val="lef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t xml:space="preserve">　　第十四条 社会中介组织、互联网站和个人，组织或者参与学位论文买卖、代写的，由有关主管机关依法查处。</w:t>
      </w:r>
    </w:p>
    <w:p w:rsidR="00977F6D" w:rsidRPr="00977F6D" w:rsidRDefault="00977F6D" w:rsidP="00977F6D">
      <w:pPr>
        <w:widowControl/>
        <w:spacing w:line="480" w:lineRule="atLeast"/>
        <w:jc w:val="lef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lastRenderedPageBreak/>
        <w:t xml:space="preserve">　　学位论文作假行为违反有关法律法规规定的，依照有关法律法规的规定追究法律责任。</w:t>
      </w:r>
    </w:p>
    <w:p w:rsidR="00977F6D" w:rsidRPr="00977F6D" w:rsidRDefault="00977F6D" w:rsidP="00977F6D">
      <w:pPr>
        <w:widowControl/>
        <w:spacing w:line="480" w:lineRule="atLeast"/>
        <w:jc w:val="lef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t xml:space="preserve">　　第十五条 学位授予单位应当依据本办法，制定、完善本单位的相关管理规定。</w:t>
      </w:r>
    </w:p>
    <w:p w:rsidR="00977F6D" w:rsidRPr="00977F6D" w:rsidRDefault="00977F6D" w:rsidP="00977F6D">
      <w:pPr>
        <w:widowControl/>
        <w:spacing w:line="480" w:lineRule="atLeast"/>
        <w:jc w:val="left"/>
        <w:rPr>
          <w:rFonts w:ascii="微软雅黑" w:eastAsia="微软雅黑" w:hAnsi="微软雅黑" w:cs="宋体" w:hint="eastAsia"/>
          <w:color w:val="4B4B4B"/>
          <w:kern w:val="0"/>
          <w:sz w:val="24"/>
          <w:szCs w:val="24"/>
        </w:rPr>
      </w:pPr>
      <w:r w:rsidRPr="00977F6D">
        <w:rPr>
          <w:rFonts w:ascii="微软雅黑" w:eastAsia="微软雅黑" w:hAnsi="微软雅黑" w:cs="宋体" w:hint="eastAsia"/>
          <w:color w:val="4B4B4B"/>
          <w:kern w:val="0"/>
          <w:sz w:val="24"/>
          <w:szCs w:val="24"/>
        </w:rPr>
        <w:t xml:space="preserve">　　第十六条 本办法自2013年1月1日起施行。</w:t>
      </w:r>
    </w:p>
    <w:p w:rsidR="00307B5C" w:rsidRPr="00977F6D" w:rsidRDefault="00307B5C">
      <w:bookmarkStart w:id="0" w:name="_GoBack"/>
      <w:bookmarkEnd w:id="0"/>
    </w:p>
    <w:sectPr w:rsidR="00307B5C" w:rsidRPr="00977F6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F6D"/>
    <w:rsid w:val="00307B5C"/>
    <w:rsid w:val="00977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48C881-CFA1-4864-8DFD-DA0405415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977F6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77F6D"/>
    <w:rPr>
      <w:rFonts w:ascii="宋体" w:eastAsia="宋体" w:hAnsi="宋体" w:cs="宋体"/>
      <w:b/>
      <w:bCs/>
      <w:kern w:val="36"/>
      <w:sz w:val="48"/>
      <w:szCs w:val="48"/>
    </w:rPr>
  </w:style>
  <w:style w:type="paragraph" w:styleId="a3">
    <w:name w:val="Normal (Web)"/>
    <w:basedOn w:val="a"/>
    <w:uiPriority w:val="99"/>
    <w:semiHidden/>
    <w:unhideWhenUsed/>
    <w:rsid w:val="00977F6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77F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1282659">
      <w:bodyDiv w:val="1"/>
      <w:marLeft w:val="0"/>
      <w:marRight w:val="0"/>
      <w:marTop w:val="0"/>
      <w:marBottom w:val="0"/>
      <w:divBdr>
        <w:top w:val="none" w:sz="0" w:space="0" w:color="auto"/>
        <w:left w:val="none" w:sz="0" w:space="0" w:color="auto"/>
        <w:bottom w:val="none" w:sz="0" w:space="0" w:color="auto"/>
        <w:right w:val="none" w:sz="0" w:space="0" w:color="auto"/>
      </w:divBdr>
      <w:divsChild>
        <w:div w:id="1639800735">
          <w:marLeft w:val="0"/>
          <w:marRight w:val="0"/>
          <w:marTop w:val="0"/>
          <w:marBottom w:val="0"/>
          <w:divBdr>
            <w:top w:val="none" w:sz="0" w:space="0" w:color="auto"/>
            <w:left w:val="none" w:sz="0" w:space="0" w:color="auto"/>
            <w:bottom w:val="none" w:sz="0" w:space="0" w:color="auto"/>
            <w:right w:val="none" w:sz="0" w:space="0" w:color="auto"/>
          </w:divBdr>
          <w:divsChild>
            <w:div w:id="1417357341">
              <w:marLeft w:val="0"/>
              <w:marRight w:val="0"/>
              <w:marTop w:val="0"/>
              <w:marBottom w:val="0"/>
              <w:divBdr>
                <w:top w:val="none" w:sz="0" w:space="0" w:color="auto"/>
                <w:left w:val="none" w:sz="0" w:space="0" w:color="auto"/>
                <w:bottom w:val="none" w:sz="0" w:space="0" w:color="auto"/>
                <w:right w:val="none" w:sz="0" w:space="0" w:color="auto"/>
              </w:divBdr>
              <w:divsChild>
                <w:div w:id="38170540">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288</Words>
  <Characters>1645</Characters>
  <Application>Microsoft Office Word</Application>
  <DocSecurity>0</DocSecurity>
  <Lines>13</Lines>
  <Paragraphs>3</Paragraphs>
  <ScaleCrop>false</ScaleCrop>
  <Company>LZD</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2021-10-13T12:14:00Z</dcterms:created>
  <dcterms:modified xsi:type="dcterms:W3CDTF">2021-10-13T12:15:00Z</dcterms:modified>
</cp:coreProperties>
</file>